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2156C3">
        <w:rPr>
          <w:b/>
          <w:bCs/>
          <w:szCs w:val="28"/>
        </w:rPr>
        <w:t>543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3D6366">
            <w:pPr>
              <w:jc w:val="center"/>
              <w:rPr>
                <w:szCs w:val="28"/>
              </w:rPr>
            </w:pPr>
            <w:r w:rsidRPr="002F76E6">
              <w:rPr>
                <w:szCs w:val="28"/>
              </w:rPr>
              <w:t>с.</w:t>
            </w:r>
            <w:r w:rsidR="002156C3">
              <w:rPr>
                <w:szCs w:val="28"/>
              </w:rPr>
              <w:t>Кошибеево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2156C3">
        <w:rPr>
          <w:b/>
          <w:szCs w:val="28"/>
        </w:rPr>
        <w:t>543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2156C3">
        <w:rPr>
          <w:szCs w:val="28"/>
        </w:rPr>
        <w:t xml:space="preserve">Н.П. Кукановской 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2156C3">
        <w:rPr>
          <w:szCs w:val="28"/>
        </w:rPr>
        <w:t>543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2156C3">
        <w:rPr>
          <w:szCs w:val="28"/>
        </w:rPr>
        <w:t>543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2156C3">
        <w:rPr>
          <w:szCs w:val="28"/>
        </w:rPr>
        <w:t>543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2156C3">
        <w:rPr>
          <w:spacing w:val="-2"/>
          <w:szCs w:val="28"/>
        </w:rPr>
        <w:t>Н.П. Кукановскую.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2156C3" w:rsidP="002156C3">
            <w:pPr>
              <w:rPr>
                <w:szCs w:val="28"/>
              </w:rPr>
            </w:pPr>
            <w:r>
              <w:rPr>
                <w:szCs w:val="28"/>
              </w:rPr>
              <w:t>Н.П.</w:t>
            </w:r>
            <w:r w:rsidR="00FA46D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Кукановская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FA46DE" w:rsidP="00FA46DE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156C3">
              <w:rPr>
                <w:szCs w:val="28"/>
              </w:rPr>
              <w:t>.А.</w:t>
            </w:r>
            <w:r>
              <w:rPr>
                <w:szCs w:val="28"/>
              </w:rPr>
              <w:t xml:space="preserve"> </w:t>
            </w:r>
            <w:r w:rsidR="002156C3">
              <w:rPr>
                <w:szCs w:val="28"/>
              </w:rPr>
              <w:t xml:space="preserve"> Тахтаганова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2156C3">
        <w:t>543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2156C3">
        <w:rPr>
          <w:b/>
          <w:sz w:val="28"/>
          <w:szCs w:val="28"/>
        </w:rPr>
        <w:t>543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Default="002156C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Кукановская</w:t>
            </w:r>
          </w:p>
          <w:p w:rsidR="002156C3" w:rsidRDefault="002156C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Наталья</w:t>
            </w:r>
          </w:p>
          <w:p w:rsidR="002156C3" w:rsidRPr="002F76E6" w:rsidRDefault="002156C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Петровна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2156C3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Кошибеево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99210A">
        <w:t>543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547564">
        <w:rPr>
          <w:b/>
          <w:szCs w:val="28"/>
        </w:rPr>
        <w:t>543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2156C3">
              <w:rPr>
                <w:spacing w:val="-2"/>
                <w:szCs w:val="28"/>
              </w:rPr>
              <w:t>43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2156C3">
              <w:rPr>
                <w:bCs/>
                <w:spacing w:val="-2"/>
                <w:szCs w:val="28"/>
              </w:rPr>
              <w:t>43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Default="002156C3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Кукановская</w:t>
            </w:r>
          </w:p>
          <w:p w:rsidR="002156C3" w:rsidRDefault="002156C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Наталья</w:t>
            </w:r>
          </w:p>
          <w:p w:rsidR="002156C3" w:rsidRPr="002F76E6" w:rsidRDefault="002156C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Петровна</w:t>
            </w:r>
          </w:p>
        </w:tc>
        <w:tc>
          <w:tcPr>
            <w:tcW w:w="2968" w:type="pct"/>
            <w:vAlign w:val="center"/>
          </w:tcPr>
          <w:p w:rsidR="002F76E6" w:rsidRPr="003D6366" w:rsidRDefault="005C7A2F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F93E63">
              <w:rPr>
                <w:rFonts w:ascii="Times New Roman" w:hAnsi="Times New Roman"/>
                <w:sz w:val="28"/>
                <w:szCs w:val="28"/>
              </w:rPr>
              <w:t>Кошибеево ул.</w:t>
            </w:r>
            <w:r w:rsidR="002156C3">
              <w:rPr>
                <w:rFonts w:ascii="Times New Roman" w:hAnsi="Times New Roman"/>
                <w:sz w:val="28"/>
                <w:szCs w:val="28"/>
              </w:rPr>
              <w:t xml:space="preserve"> Мира</w:t>
            </w:r>
            <w:r w:rsidR="00F93E63">
              <w:rPr>
                <w:rFonts w:ascii="Times New Roman" w:hAnsi="Times New Roman"/>
                <w:sz w:val="28"/>
                <w:szCs w:val="28"/>
              </w:rPr>
              <w:t>, ул. Садовая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Default="00F93E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Ивашкина</w:t>
            </w:r>
          </w:p>
          <w:p w:rsidR="00F93E63" w:rsidRDefault="00F93E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Елена</w:t>
            </w:r>
          </w:p>
          <w:p w:rsidR="00F93E63" w:rsidRPr="002F76E6" w:rsidRDefault="00F93E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Викторовна</w:t>
            </w:r>
          </w:p>
        </w:tc>
        <w:tc>
          <w:tcPr>
            <w:tcW w:w="2968" w:type="pct"/>
            <w:vAlign w:val="center"/>
          </w:tcPr>
          <w:p w:rsidR="005C7A2F" w:rsidRPr="003D6366" w:rsidRDefault="00F93E63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Кошибеево ул. Ильева, ул. Садовая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Default="00F93E63" w:rsidP="005C7A2F">
            <w:pPr>
              <w:rPr>
                <w:szCs w:val="28"/>
              </w:rPr>
            </w:pPr>
            <w:r>
              <w:rPr>
                <w:szCs w:val="28"/>
              </w:rPr>
              <w:t>Липина</w:t>
            </w:r>
          </w:p>
          <w:p w:rsidR="00F93E63" w:rsidRDefault="00F93E63" w:rsidP="005C7A2F">
            <w:pPr>
              <w:rPr>
                <w:szCs w:val="28"/>
              </w:rPr>
            </w:pPr>
            <w:r>
              <w:rPr>
                <w:szCs w:val="28"/>
              </w:rPr>
              <w:t>Валентина</w:t>
            </w:r>
          </w:p>
          <w:p w:rsidR="00F93E63" w:rsidRPr="002F76E6" w:rsidRDefault="00F93E63" w:rsidP="005C7A2F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2968" w:type="pct"/>
            <w:vAlign w:val="center"/>
          </w:tcPr>
          <w:p w:rsidR="005C7A2F" w:rsidRPr="003D6366" w:rsidRDefault="00F93E63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</w:t>
            </w:r>
            <w:r w:rsidR="005C7A2F" w:rsidRPr="003D6366">
              <w:rPr>
                <w:szCs w:val="28"/>
              </w:rPr>
              <w:t>ел</w:t>
            </w:r>
            <w:r>
              <w:rPr>
                <w:szCs w:val="28"/>
              </w:rPr>
              <w:t>о Кошибеево  ул. Дружбы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F93E63">
        <w:t>543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E6" w:rsidRDefault="00A443E6">
      <w:r>
        <w:separator/>
      </w:r>
    </w:p>
  </w:endnote>
  <w:endnote w:type="continuationSeparator" w:id="0">
    <w:p w:rsidR="00A443E6" w:rsidRDefault="00A4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E6" w:rsidRDefault="00A443E6">
      <w:r>
        <w:separator/>
      </w:r>
    </w:p>
  </w:footnote>
  <w:footnote w:type="continuationSeparator" w:id="0">
    <w:p w:rsidR="00A443E6" w:rsidRDefault="00A4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AC1EC3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A443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AC1EC3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210A">
      <w:rPr>
        <w:rStyle w:val="a7"/>
        <w:noProof/>
      </w:rPr>
      <w:t>3</w:t>
    </w:r>
    <w:r>
      <w:rPr>
        <w:rStyle w:val="a7"/>
      </w:rPr>
      <w:fldChar w:fldCharType="end"/>
    </w:r>
  </w:p>
  <w:p w:rsidR="008B5DDA" w:rsidRDefault="00A443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E6"/>
    <w:rsid w:val="00095575"/>
    <w:rsid w:val="00123A04"/>
    <w:rsid w:val="001D56F3"/>
    <w:rsid w:val="002156C3"/>
    <w:rsid w:val="002F76E6"/>
    <w:rsid w:val="003B0439"/>
    <w:rsid w:val="003D6366"/>
    <w:rsid w:val="00484485"/>
    <w:rsid w:val="00547564"/>
    <w:rsid w:val="005C7A2F"/>
    <w:rsid w:val="00663697"/>
    <w:rsid w:val="006B3CFE"/>
    <w:rsid w:val="006F5420"/>
    <w:rsid w:val="009408BD"/>
    <w:rsid w:val="0099210A"/>
    <w:rsid w:val="00A443E6"/>
    <w:rsid w:val="00AC1EC3"/>
    <w:rsid w:val="00B35969"/>
    <w:rsid w:val="00B62F3D"/>
    <w:rsid w:val="00C21971"/>
    <w:rsid w:val="00C51834"/>
    <w:rsid w:val="00F93E63"/>
    <w:rsid w:val="00FA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2024-02-16T11:55:00Z</cp:lastPrinted>
  <dcterms:created xsi:type="dcterms:W3CDTF">2024-02-19T13:05:00Z</dcterms:created>
  <dcterms:modified xsi:type="dcterms:W3CDTF">2024-02-19T13:06:00Z</dcterms:modified>
</cp:coreProperties>
</file>